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F" w:rsidRPr="00D62C5F" w:rsidRDefault="00D62C5F" w:rsidP="00D62C5F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i/>
          <w:lang w:eastAsia="zh-CN"/>
        </w:rPr>
      </w:pPr>
    </w:p>
    <w:p w:rsidR="00D62C5F" w:rsidRPr="00D62C5F" w:rsidRDefault="00D62C5F" w:rsidP="00D62C5F">
      <w:pPr>
        <w:widowControl w:val="0"/>
        <w:suppressAutoHyphens/>
        <w:spacing w:after="0" w:line="240" w:lineRule="auto"/>
        <w:ind w:left="5103"/>
        <w:jc w:val="right"/>
        <w:rPr>
          <w:rFonts w:ascii="Tahoma" w:eastAsia="Times New Roman" w:hAnsi="Tahoma" w:cs="Tahoma"/>
          <w:i/>
          <w:iCs/>
          <w:lang w:eastAsia="zh-CN"/>
        </w:rPr>
      </w:pPr>
      <w:r w:rsidRPr="00D62C5F">
        <w:rPr>
          <w:rFonts w:ascii="Tahoma" w:eastAsia="Times New Roman" w:hAnsi="Tahoma" w:cs="Tahoma"/>
          <w:i/>
          <w:iCs/>
          <w:lang w:eastAsia="zh-CN"/>
        </w:rPr>
        <w:t>УТВЕРЖДЕНО</w:t>
      </w:r>
    </w:p>
    <w:p w:rsidR="00D62C5F" w:rsidRPr="00D62C5F" w:rsidRDefault="00D62C5F" w:rsidP="00D62C5F">
      <w:pPr>
        <w:spacing w:after="0" w:line="240" w:lineRule="auto"/>
        <w:jc w:val="right"/>
        <w:rPr>
          <w:rFonts w:ascii="Tahoma" w:eastAsia="Times New Roman" w:hAnsi="Tahoma" w:cs="Tahoma"/>
          <w:bCs/>
          <w:i/>
          <w:lang w:eastAsia="ru-RU"/>
        </w:rPr>
      </w:pPr>
      <w:r w:rsidRPr="00D62C5F">
        <w:rPr>
          <w:rFonts w:ascii="Tahoma" w:eastAsia="Times New Roman" w:hAnsi="Tahoma" w:cs="Tahoma"/>
          <w:bCs/>
          <w:i/>
          <w:lang w:eastAsia="ru-RU"/>
        </w:rPr>
        <w:t xml:space="preserve">Протоколом № 1 Общего Собрания АРСП    </w:t>
      </w:r>
    </w:p>
    <w:p w:rsidR="00D62C5F" w:rsidRPr="00D62C5F" w:rsidRDefault="00D62C5F" w:rsidP="00D62C5F">
      <w:pPr>
        <w:spacing w:after="0" w:line="240" w:lineRule="auto"/>
        <w:jc w:val="right"/>
        <w:rPr>
          <w:rFonts w:ascii="Tahoma" w:eastAsia="Times New Roman" w:hAnsi="Tahoma" w:cs="Tahoma"/>
          <w:bCs/>
          <w:i/>
          <w:lang w:eastAsia="ru-RU"/>
        </w:rPr>
      </w:pPr>
      <w:r w:rsidRPr="00D62C5F">
        <w:rPr>
          <w:rFonts w:ascii="Tahoma" w:eastAsia="Times New Roman" w:hAnsi="Tahoma" w:cs="Tahoma"/>
          <w:bCs/>
          <w:i/>
          <w:lang w:eastAsia="ru-RU"/>
        </w:rPr>
        <w:t>26.04.2018</w:t>
      </w:r>
    </w:p>
    <w:p w:rsidR="00D62C5F" w:rsidRPr="00D62C5F" w:rsidRDefault="00D62C5F" w:rsidP="00D62C5F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i/>
          <w:lang w:eastAsia="zh-CN"/>
        </w:rPr>
      </w:pPr>
    </w:p>
    <w:p w:rsidR="00D62C5F" w:rsidRPr="00D62C5F" w:rsidRDefault="00D62C5F" w:rsidP="00D62C5F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i/>
          <w:lang w:eastAsia="zh-CN"/>
        </w:rPr>
      </w:pPr>
    </w:p>
    <w:p w:rsidR="00D62C5F" w:rsidRPr="00D62C5F" w:rsidRDefault="00D62C5F" w:rsidP="00D62C5F">
      <w:pPr>
        <w:spacing w:after="0" w:line="240" w:lineRule="auto"/>
        <w:jc w:val="center"/>
        <w:rPr>
          <w:rFonts w:ascii="Tahoma" w:eastAsia="Times New Roman" w:hAnsi="Tahoma" w:cs="Times New Roman"/>
          <w:b/>
          <w:i/>
          <w:sz w:val="25"/>
          <w:szCs w:val="25"/>
          <w:lang w:eastAsia="ru-RU"/>
        </w:rPr>
      </w:pPr>
      <w:r w:rsidRPr="00D62C5F">
        <w:rPr>
          <w:rFonts w:ascii="Tahoma" w:eastAsia="Times New Roman" w:hAnsi="Tahoma" w:cs="Times New Roman"/>
          <w:b/>
          <w:i/>
          <w:sz w:val="25"/>
          <w:szCs w:val="25"/>
          <w:lang w:eastAsia="ru-RU"/>
        </w:rPr>
        <w:t>ПОЛОЖЕНИЕ О МЕЖАГЕНТСКОЙ БАЗЕ ДАННЫХ (МБД) АРСП.</w:t>
      </w:r>
    </w:p>
    <w:p w:rsidR="00D62C5F" w:rsidRPr="00D62C5F" w:rsidRDefault="00D62C5F" w:rsidP="00D62C5F">
      <w:pPr>
        <w:spacing w:after="0" w:line="240" w:lineRule="auto"/>
        <w:jc w:val="center"/>
        <w:rPr>
          <w:rFonts w:ascii="Tahoma" w:eastAsia="Times New Roman" w:hAnsi="Tahoma" w:cs="Times New Roman"/>
          <w:b/>
          <w:i/>
          <w:sz w:val="25"/>
          <w:szCs w:val="25"/>
          <w:lang w:eastAsia="ru-RU"/>
        </w:rPr>
      </w:pPr>
    </w:p>
    <w:p w:rsidR="00D62C5F" w:rsidRPr="00D62C5F" w:rsidRDefault="00D62C5F" w:rsidP="00D62C5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</w:pPr>
      <w:proofErr w:type="spellStart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Межагентская</w:t>
      </w:r>
      <w:proofErr w:type="spellEnd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 xml:space="preserve"> База Данных (МБД) – это программный продукт, являющийся  собственностью АРСПБ и ЛО, предоставляющий </w:t>
      </w:r>
      <w:proofErr w:type="spellStart"/>
      <w:proofErr w:type="gramStart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c</w:t>
      </w:r>
      <w:proofErr w:type="gramEnd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ервис</w:t>
      </w:r>
      <w:proofErr w:type="spellEnd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 xml:space="preserve"> обмена информацией между её участниками, размещенный на домене Ассоциации Риэлторов Санкт-Петербурга и Ленинградской Области(arspb.ru). </w:t>
      </w:r>
    </w:p>
    <w:p w:rsidR="00D62C5F" w:rsidRPr="00D62C5F" w:rsidRDefault="00D62C5F" w:rsidP="00D62C5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</w:pP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Оперативное управление МБД-МЛС осуществляет Комитет по МБД-МЛС, выполняющего функции регионального органа ФБН.</w:t>
      </w: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t>13.3.</w:t>
      </w:r>
    </w:p>
    <w:p w:rsidR="00D62C5F" w:rsidRPr="00D62C5F" w:rsidRDefault="00D62C5F" w:rsidP="00D62C5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</w:pP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 xml:space="preserve">Компания-член Ассоциации обязана выгружать из своей CRM-системы или размещать в МБД (через сервисы «Личный кабинет пользователя» сайта Ассоциации) объем рекламной информации по объектам недвижимости не меньший, </w:t>
      </w:r>
      <w:proofErr w:type="spellStart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тчем</w:t>
      </w:r>
      <w:proofErr w:type="spellEnd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 xml:space="preserve"> на другие ведущие </w:t>
      </w:r>
      <w:proofErr w:type="gramStart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интернет-площадки</w:t>
      </w:r>
      <w:proofErr w:type="gramEnd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 xml:space="preserve"> рынка недвижимости Санкт-Петербурга и Ленинградской области.</w:t>
      </w:r>
    </w:p>
    <w:p w:rsidR="00D62C5F" w:rsidRPr="00D62C5F" w:rsidRDefault="00D62C5F" w:rsidP="00D62C5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</w:pP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Объекты МЛС – это часть общей базы МБД со следующими обязательными признаками:</w:t>
      </w:r>
    </w:p>
    <w:p w:rsidR="00D62C5F" w:rsidRPr="00D62C5F" w:rsidRDefault="00D62C5F" w:rsidP="00D62C5F">
      <w:pPr>
        <w:widowControl w:val="0"/>
        <w:spacing w:after="0" w:line="240" w:lineRule="auto"/>
        <w:jc w:val="both"/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</w:pP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 xml:space="preserve">- </w:t>
      </w: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t xml:space="preserve">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объект выставлен в базу компанией-участником проекта МЛС (юр</w:t>
      </w:r>
      <w:r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 xml:space="preserve">.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лицом);</w:t>
      </w:r>
    </w:p>
    <w:p w:rsidR="00D62C5F" w:rsidRPr="00D62C5F" w:rsidRDefault="00D62C5F" w:rsidP="00D62C5F">
      <w:pPr>
        <w:widowControl w:val="0"/>
        <w:spacing w:after="0" w:line="240" w:lineRule="auto"/>
        <w:jc w:val="both"/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</w:pP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-</w:t>
      </w: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t xml:space="preserve">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по объекту заключен договор с собственником, предполагающий комиссионное вознаграждение;</w:t>
      </w:r>
    </w:p>
    <w:p w:rsidR="00D62C5F" w:rsidRPr="00D62C5F" w:rsidRDefault="00D62C5F" w:rsidP="00D62C5F">
      <w:pPr>
        <w:widowControl w:val="0"/>
        <w:spacing w:after="0" w:line="240" w:lineRule="auto"/>
        <w:jc w:val="both"/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</w:pP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 xml:space="preserve">- </w:t>
      </w: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t xml:space="preserve">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по объекту есть деление комиссионным вознаграждени</w:t>
      </w:r>
      <w:bookmarkStart w:id="0" w:name="_GoBack"/>
      <w:bookmarkEnd w:id="0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ем в размере не ниже утвержденного минимума;</w:t>
      </w:r>
    </w:p>
    <w:p w:rsidR="00D62C5F" w:rsidRPr="00D62C5F" w:rsidRDefault="00D62C5F" w:rsidP="00D62C5F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</w:pP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 xml:space="preserve">- </w:t>
      </w: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t xml:space="preserve">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компания-продавец гарантирует достоверность информации (за публикацию недостоверной информации действуют штрафы)</w:t>
      </w:r>
      <w:proofErr w:type="gramStart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.М</w:t>
      </w:r>
      <w:proofErr w:type="gramEnd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инимальный размер деления комиссионным вознаграждением составляет 1% от стоимости объекта, а для объектов малой стоимости не менее 10 тыс. руб. (для Ленинградской области), 20 тыс. руб. (для Санкт-Петербурга).</w:t>
      </w:r>
    </w:p>
    <w:p w:rsidR="00D62C5F" w:rsidRPr="00D62C5F" w:rsidRDefault="00D62C5F" w:rsidP="00D62C5F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</w:pP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t xml:space="preserve">5.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Участие в МБД-МЛС является исключительно добровольным. Присоединение к МБД-МЛС осуществляется по письменному заявлению компании-члена АРСП.  Прием и исключение компаний, не являющихся членами АРСП, осуществляется Комитетом по МБД-МЛС.</w:t>
      </w:r>
    </w:p>
    <w:p w:rsidR="00D62C5F" w:rsidRPr="00D62C5F" w:rsidRDefault="00D62C5F" w:rsidP="00D62C5F">
      <w:pPr>
        <w:spacing w:line="240" w:lineRule="auto"/>
        <w:contextualSpacing/>
        <w:jc w:val="both"/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</w:pP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t xml:space="preserve">6.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Спорные вопросы по совместным сделкам рассматриваются Комиссией по правам потребителей и профессиональной этике АРСП.</w:t>
      </w:r>
    </w:p>
    <w:p w:rsidR="00D62C5F" w:rsidRPr="00D62C5F" w:rsidRDefault="00D62C5F" w:rsidP="00D62C5F">
      <w:pPr>
        <w:spacing w:line="240" w:lineRule="auto"/>
        <w:contextualSpacing/>
        <w:jc w:val="both"/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</w:pP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t xml:space="preserve">7.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 xml:space="preserve">Профессиональная база №1 АРСП доступна для участников в полном объеме через </w:t>
      </w:r>
      <w:proofErr w:type="gramStart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корпоративные</w:t>
      </w:r>
      <w:proofErr w:type="gramEnd"/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 xml:space="preserve"> СРМ, закрытую зону сайта АРСП, а также на ФБН. </w:t>
      </w:r>
    </w:p>
    <w:p w:rsidR="00D62C5F" w:rsidRPr="00D62C5F" w:rsidRDefault="00D62C5F" w:rsidP="00D62C5F">
      <w:pPr>
        <w:spacing w:line="240" w:lineRule="auto"/>
        <w:contextualSpacing/>
        <w:jc w:val="both"/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</w:pP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t xml:space="preserve">8.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Профессиональная база №1 АРСП как открытая база доступна для потребителей на сайтах компаний-участников и ФБН, на сайте АРСП, а также на специально аккредитованных АРСП сайтах.</w:t>
      </w:r>
    </w:p>
    <w:p w:rsidR="00D62C5F" w:rsidRPr="00D62C5F" w:rsidRDefault="00D62C5F" w:rsidP="00D62C5F">
      <w:pPr>
        <w:spacing w:line="240" w:lineRule="auto"/>
        <w:contextualSpacing/>
        <w:jc w:val="both"/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</w:pP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t xml:space="preserve">9.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Постановка объекта с делением комиссионных в МЛС является офертой для фирм, представляющих интересы покупателя. Акцепт на принятие оферты направляется компанией, представляющей интересы покупателя, в письменном виде (по регламенту, определенному Комитетом по МБД-МЛС). Протокол старта совместной сделки согласовывается уполномоченными лицами компании в письменной форме.</w:t>
      </w:r>
    </w:p>
    <w:p w:rsidR="00D62C5F" w:rsidRPr="00D62C5F" w:rsidRDefault="00D62C5F" w:rsidP="00D62C5F">
      <w:pPr>
        <w:spacing w:line="240" w:lineRule="auto"/>
        <w:contextualSpacing/>
        <w:jc w:val="both"/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</w:pP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t xml:space="preserve">10.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Каждая компания может выбрать один из трех форматов взаимодействия в рамках МЛС:</w:t>
      </w:r>
    </w:p>
    <w:p w:rsidR="00D62C5F" w:rsidRPr="00D62C5F" w:rsidRDefault="00D62C5F" w:rsidP="00D62C5F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</w:pP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lastRenderedPageBreak/>
        <w:t xml:space="preserve">-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Взаимодействие с компаниями-участниками МЛС;</w:t>
      </w:r>
    </w:p>
    <w:p w:rsidR="00D62C5F" w:rsidRPr="00D62C5F" w:rsidRDefault="00D62C5F" w:rsidP="00D62C5F">
      <w:pPr>
        <w:widowControl w:val="0"/>
        <w:spacing w:after="0" w:line="240" w:lineRule="auto"/>
        <w:jc w:val="both"/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</w:pP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t xml:space="preserve">-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Взаимодействие с компаниями-участниками МЛС, подписавшими отдельное двустороннее соглашение;</w:t>
      </w:r>
    </w:p>
    <w:p w:rsidR="00D62C5F" w:rsidRPr="00D62C5F" w:rsidRDefault="00D62C5F" w:rsidP="00D62C5F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</w:pPr>
      <w:r w:rsidRPr="00D62C5F"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  <w:t xml:space="preserve">- </w:t>
      </w:r>
      <w:r w:rsidRPr="00D62C5F">
        <w:rPr>
          <w:rFonts w:ascii="Pragmatica" w:eastAsia="Times New Roman" w:hAnsi="Pragmatica" w:cs="Times New Roman"/>
          <w:i/>
          <w:iCs/>
          <w:sz w:val="25"/>
          <w:szCs w:val="25"/>
          <w:lang w:eastAsia="ru-RU"/>
        </w:rPr>
        <w:t>Взаимодействие со всеми участниками рынка.</w:t>
      </w:r>
    </w:p>
    <w:p w:rsidR="00D62C5F" w:rsidRPr="00D62C5F" w:rsidRDefault="00D62C5F" w:rsidP="00D62C5F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5"/>
          <w:szCs w:val="25"/>
          <w:lang w:eastAsia="ru-RU"/>
        </w:rPr>
      </w:pPr>
    </w:p>
    <w:p w:rsidR="00D62C5F" w:rsidRPr="00D62C5F" w:rsidRDefault="00D62C5F" w:rsidP="00D62C5F">
      <w:pPr>
        <w:spacing w:after="0" w:line="240" w:lineRule="auto"/>
        <w:rPr>
          <w:rFonts w:ascii="Tahoma" w:eastAsia="Times New Roman" w:hAnsi="Tahoma" w:cs="Times New Roman"/>
          <w:i/>
          <w:szCs w:val="20"/>
          <w:lang w:eastAsia="ru-RU"/>
        </w:rPr>
      </w:pPr>
    </w:p>
    <w:p w:rsidR="00D62C5F" w:rsidRPr="00D62C5F" w:rsidRDefault="00D62C5F" w:rsidP="00D62C5F">
      <w:pPr>
        <w:widowControl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2C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62C5F" w:rsidRPr="00D62C5F" w:rsidRDefault="00D62C5F" w:rsidP="00D62C5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mallCaps/>
          <w:kern w:val="32"/>
          <w:lang w:eastAsia="ru-RU"/>
        </w:rPr>
      </w:pPr>
    </w:p>
    <w:p w:rsidR="00D62C5F" w:rsidRPr="00D62C5F" w:rsidRDefault="00D62C5F" w:rsidP="00D62C5F">
      <w:pPr>
        <w:spacing w:after="0" w:line="240" w:lineRule="auto"/>
        <w:rPr>
          <w:rFonts w:ascii="Tahoma" w:eastAsia="Times New Roman" w:hAnsi="Tahoma" w:cs="Times New Roman"/>
          <w:i/>
          <w:szCs w:val="20"/>
          <w:lang w:eastAsia="ru-RU"/>
        </w:rPr>
      </w:pPr>
    </w:p>
    <w:p w:rsidR="00D62C5F" w:rsidRPr="00D62C5F" w:rsidRDefault="00D62C5F" w:rsidP="00D62C5F">
      <w:pPr>
        <w:spacing w:after="0" w:line="240" w:lineRule="auto"/>
        <w:rPr>
          <w:rFonts w:ascii="Tahoma" w:eastAsia="Times New Roman" w:hAnsi="Tahoma" w:cs="Times New Roman"/>
          <w:i/>
          <w:szCs w:val="20"/>
          <w:lang w:eastAsia="ru-RU"/>
        </w:rPr>
      </w:pPr>
    </w:p>
    <w:p w:rsidR="00D62C5F" w:rsidRPr="00D62C5F" w:rsidRDefault="00D62C5F" w:rsidP="00D62C5F">
      <w:pPr>
        <w:spacing w:after="0" w:line="240" w:lineRule="auto"/>
        <w:rPr>
          <w:rFonts w:ascii="Tahoma" w:eastAsia="Times New Roman" w:hAnsi="Tahoma" w:cs="Times New Roman"/>
          <w:i/>
          <w:szCs w:val="20"/>
          <w:lang w:eastAsia="ru-RU"/>
        </w:rPr>
      </w:pPr>
    </w:p>
    <w:p w:rsidR="00D62C5F" w:rsidRPr="00D62C5F" w:rsidRDefault="00D62C5F" w:rsidP="00D62C5F">
      <w:pPr>
        <w:spacing w:after="0" w:line="240" w:lineRule="auto"/>
        <w:rPr>
          <w:rFonts w:ascii="Tahoma" w:eastAsia="Times New Roman" w:hAnsi="Tahoma" w:cs="Times New Roman"/>
          <w:i/>
          <w:szCs w:val="20"/>
          <w:lang w:eastAsia="ru-RU"/>
        </w:rPr>
      </w:pPr>
    </w:p>
    <w:p w:rsidR="00BF5590" w:rsidRDefault="00BF5590"/>
    <w:sectPr w:rsidR="00BF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20"/>
    <w:multiLevelType w:val="multilevel"/>
    <w:tmpl w:val="51627418"/>
    <w:lvl w:ilvl="0">
      <w:start w:val="13"/>
      <w:numFmt w:val="decimal"/>
      <w:lvlText w:val="%1."/>
      <w:lvlJc w:val="left"/>
      <w:pPr>
        <w:ind w:left="525" w:hanging="525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0"/>
    <w:rsid w:val="00BF5590"/>
    <w:rsid w:val="00D578A0"/>
    <w:rsid w:val="00D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2019-10-22T11:30:00Z</dcterms:created>
  <dcterms:modified xsi:type="dcterms:W3CDTF">2019-10-22T11:31:00Z</dcterms:modified>
</cp:coreProperties>
</file>